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0" w:type="dxa"/>
        <w:jc w:val="center"/>
        <w:tblCellSpacing w:w="15" w:type="dxa"/>
        <w:tblCellMar>
          <w:top w:w="15" w:type="dxa"/>
          <w:left w:w="15" w:type="dxa"/>
          <w:bottom w:w="15" w:type="dxa"/>
          <w:right w:w="15" w:type="dxa"/>
        </w:tblCellMar>
        <w:tblLook w:val="04A0"/>
      </w:tblPr>
      <w:tblGrid>
        <w:gridCol w:w="8610"/>
      </w:tblGrid>
      <w:tr w:rsidR="002F7F39" w:rsidRPr="002F7F39">
        <w:trPr>
          <w:tblCellSpacing w:w="15" w:type="dxa"/>
          <w:jc w:val="center"/>
        </w:trPr>
        <w:tc>
          <w:tcPr>
            <w:tcW w:w="8520" w:type="dxa"/>
            <w:shd w:val="clear" w:color="auto" w:fill="FFFFFF"/>
            <w:vAlign w:val="center"/>
            <w:hideMark/>
          </w:tcPr>
          <w:p w:rsidR="002F7F39" w:rsidRPr="002F7F39" w:rsidRDefault="002F7F39" w:rsidP="002F7F39">
            <w:pPr>
              <w:spacing w:before="100" w:beforeAutospacing="1" w:after="100" w:afterAutospacing="1" w:line="240" w:lineRule="auto"/>
              <w:jc w:val="center"/>
              <w:rPr>
                <w:rFonts w:eastAsia="Times New Roman" w:cs="Times New Roman"/>
                <w:color w:val="000000"/>
                <w:sz w:val="24"/>
                <w:szCs w:val="24"/>
              </w:rPr>
            </w:pPr>
            <w:r w:rsidRPr="002F7F39">
              <w:rPr>
                <w:rFonts w:eastAsia="Times New Roman" w:cs="Times New Roman"/>
                <w:color w:val="000066"/>
                <w:sz w:val="15"/>
                <w:szCs w:val="15"/>
              </w:rPr>
              <w:t>  AĞIR VE TEHLİKELİ İŞLERDE ÇALIŞTIRILACAK İŞÇİLERİN MESLEKİ EĞİTİMLERİNE DAİR TEBLİĞ     </w:t>
            </w:r>
          </w:p>
        </w:tc>
      </w:tr>
      <w:tr w:rsidR="002F7F39" w:rsidRPr="002F7F39">
        <w:trPr>
          <w:trHeight w:val="15"/>
          <w:tblCellSpacing w:w="15" w:type="dxa"/>
          <w:jc w:val="center"/>
        </w:trPr>
        <w:tc>
          <w:tcPr>
            <w:tcW w:w="8520" w:type="dxa"/>
            <w:shd w:val="clear" w:color="auto" w:fill="000066"/>
            <w:hideMark/>
          </w:tcPr>
          <w:p w:rsidR="002F7F39" w:rsidRPr="002F7F39" w:rsidRDefault="002F7F39" w:rsidP="002F7F39">
            <w:pPr>
              <w:spacing w:after="0" w:line="240" w:lineRule="auto"/>
              <w:rPr>
                <w:rFonts w:eastAsia="Times New Roman" w:cs="Times New Roman"/>
                <w:color w:val="000000"/>
                <w:sz w:val="2"/>
                <w:szCs w:val="24"/>
              </w:rPr>
            </w:pPr>
          </w:p>
        </w:tc>
      </w:tr>
    </w:tbl>
    <w:p w:rsidR="002F7F39" w:rsidRPr="002F7F39" w:rsidRDefault="002F7F39" w:rsidP="002F7F39">
      <w:pPr>
        <w:spacing w:after="0"/>
        <w:rPr>
          <w:rFonts w:eastAsia="Times New Roman" w:cs="Times New Roman"/>
          <w:color w:val="000000"/>
          <w:sz w:val="24"/>
          <w:szCs w:val="24"/>
        </w:rPr>
      </w:pP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jc w:val="center"/>
        <w:rPr>
          <w:rFonts w:eastAsia="Times New Roman" w:cs="Times New Roman"/>
          <w:color w:val="000000"/>
          <w:sz w:val="24"/>
          <w:szCs w:val="24"/>
        </w:rPr>
      </w:pP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66"/>
          <w:sz w:val="15"/>
          <w:szCs w:val="15"/>
        </w:rPr>
        <w:t>31 Mayıs 2009 Tarihli Resmi Gazete</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66"/>
          <w:sz w:val="15"/>
          <w:szCs w:val="15"/>
        </w:rPr>
        <w:t>Sayı: 27244</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66"/>
          <w:sz w:val="15"/>
          <w:szCs w:val="15"/>
        </w:rPr>
        <w:t>Çalışma ve Sosyal Güvenlik Bakanlığından:</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jc w:val="center"/>
        <w:rPr>
          <w:rFonts w:eastAsia="Times New Roman" w:cs="Times New Roman"/>
          <w:color w:val="000000"/>
          <w:sz w:val="24"/>
          <w:szCs w:val="24"/>
        </w:rPr>
      </w:pPr>
      <w:r w:rsidRPr="002F7F39">
        <w:rPr>
          <w:rFonts w:eastAsia="Times New Roman" w:cs="Times New Roman"/>
          <w:b/>
          <w:bCs/>
          <w:color w:val="000066"/>
          <w:sz w:val="15"/>
          <w:szCs w:val="15"/>
        </w:rPr>
        <w:t>AĞIR VE TEHLİKELİ İŞLERDE ÇALIŞTIRILACAK İŞÇİLERİN MESLEKİ EĞİTİMLERİNE DAİR TEBLİĞ</w:t>
      </w:r>
    </w:p>
    <w:p w:rsidR="002F7F39" w:rsidRPr="002F7F39" w:rsidRDefault="002F7F39" w:rsidP="002F7F39">
      <w:pPr>
        <w:spacing w:after="0"/>
        <w:jc w:val="center"/>
        <w:rPr>
          <w:rFonts w:eastAsia="Times New Roman" w:cs="Times New Roman"/>
          <w:color w:val="000000"/>
          <w:sz w:val="24"/>
          <w:szCs w:val="24"/>
        </w:rPr>
      </w:pPr>
      <w:r w:rsidRPr="002F7F39">
        <w:rPr>
          <w:rFonts w:eastAsia="Times New Roman" w:cs="Times New Roman"/>
          <w:b/>
          <w:bCs/>
          <w:color w:val="000066"/>
          <w:sz w:val="15"/>
          <w:szCs w:val="15"/>
        </w:rPr>
        <w:t>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Amaç</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1 – </w:t>
      </w:r>
      <w:r w:rsidRPr="002F7F39">
        <w:rPr>
          <w:rFonts w:eastAsia="Times New Roman" w:cs="Times New Roman"/>
          <w:color w:val="000066"/>
          <w:sz w:val="15"/>
          <w:szCs w:val="15"/>
        </w:rPr>
        <w:t xml:space="preserve">(1) Bu Tebliğin amacı, </w:t>
      </w:r>
      <w:proofErr w:type="gramStart"/>
      <w:r w:rsidRPr="002F7F39">
        <w:rPr>
          <w:rFonts w:eastAsia="Times New Roman" w:cs="Times New Roman"/>
          <w:color w:val="000066"/>
          <w:sz w:val="15"/>
        </w:rPr>
        <w:t>22/5/2003</w:t>
      </w:r>
      <w:proofErr w:type="gramEnd"/>
      <w:r w:rsidRPr="002F7F39">
        <w:rPr>
          <w:rFonts w:eastAsia="Times New Roman" w:cs="Times New Roman"/>
          <w:color w:val="000066"/>
          <w:sz w:val="15"/>
          <w:szCs w:val="15"/>
        </w:rPr>
        <w:t xml:space="preserve"> tarihli ve 4857 sayılı İş Kanununun 85 inci maddesinde yer alan ve ağır ve tehlikeli işlerde çalıştırılan işçilerin mesleki eğitimlerinin usul ve esaslarını düzenlemektir.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Kapsam</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2 – </w:t>
      </w:r>
      <w:r w:rsidRPr="002F7F39">
        <w:rPr>
          <w:rFonts w:eastAsia="Times New Roman" w:cs="Times New Roman"/>
          <w:color w:val="000066"/>
          <w:sz w:val="15"/>
          <w:szCs w:val="15"/>
        </w:rPr>
        <w:t xml:space="preserve">(1) Bu Tebliğ, 4857 sayılı Kanunun 85 inci maddesine göre çıkarılan, </w:t>
      </w:r>
      <w:proofErr w:type="gramStart"/>
      <w:r w:rsidRPr="002F7F39">
        <w:rPr>
          <w:rFonts w:eastAsia="Times New Roman" w:cs="Times New Roman"/>
          <w:color w:val="000066"/>
          <w:sz w:val="15"/>
        </w:rPr>
        <w:t>16/6/2004</w:t>
      </w:r>
      <w:proofErr w:type="gramEnd"/>
      <w:r w:rsidRPr="002F7F39">
        <w:rPr>
          <w:rFonts w:eastAsia="Times New Roman" w:cs="Times New Roman"/>
          <w:color w:val="000066"/>
          <w:sz w:val="15"/>
          <w:szCs w:val="15"/>
        </w:rPr>
        <w:t xml:space="preserve"> tarihli ve 25494 sayılı Resmî Gazete’de yayımlanan “</w:t>
      </w:r>
      <w:hyperlink r:id="rId4" w:history="1">
        <w:r w:rsidRPr="002F7F39">
          <w:rPr>
            <w:rFonts w:eastAsia="Times New Roman" w:cs="Times New Roman"/>
            <w:color w:val="0000FF"/>
            <w:sz w:val="15"/>
          </w:rPr>
          <w:t>Ağır ve Tehlikeli İşler Yönetmeliği</w:t>
        </w:r>
      </w:hyperlink>
      <w:r w:rsidRPr="002F7F39">
        <w:rPr>
          <w:rFonts w:eastAsia="Times New Roman" w:cs="Times New Roman"/>
          <w:color w:val="000066"/>
          <w:sz w:val="15"/>
          <w:szCs w:val="15"/>
        </w:rPr>
        <w:t xml:space="preserve">” kapsamında bulunan işyerlerinde çalışan işçileri kapsar.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br/>
        <w:t>Dayanak</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3 – </w:t>
      </w:r>
      <w:r w:rsidRPr="002F7F39">
        <w:rPr>
          <w:rFonts w:eastAsia="Times New Roman" w:cs="Times New Roman"/>
          <w:color w:val="000066"/>
          <w:sz w:val="15"/>
          <w:szCs w:val="15"/>
        </w:rPr>
        <w:t>(1) Bu Tebliğ, 4857 sayılı Kanunun 85 inci maddesine dayanılarak hazırlanmıştır.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Tanımlar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4 – </w:t>
      </w:r>
      <w:r w:rsidRPr="002F7F39">
        <w:rPr>
          <w:rFonts w:eastAsia="Times New Roman" w:cs="Times New Roman"/>
          <w:color w:val="000066"/>
          <w:sz w:val="15"/>
          <w:szCs w:val="15"/>
        </w:rPr>
        <w:t>(1) Bu Tebliğin uygulanmasında;</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a) Bakanlık: Çalışma ve Sosyal Güvenlik Bakanlığını,</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b) Mesleki Eğitim: Örgün veya yaygın eğitim yoluyla bireyleri mesleğe hazırlamak, meslek sahibi olanların mesleklerinde gelişmelerini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 xml:space="preserve">c) Mesleki ve Teknik Eğitim Okul ve Kurumları: Mesleki ve teknik eğitim alanında, diplomaya götüren orta öğretim kurumları ile belge ve sertifika programlarının uygulandığı her tür ve derecedeki örgün ve yaygın eğitim-öğretim kurumlarını,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proofErr w:type="gramStart"/>
      <w:r w:rsidRPr="002F7F39">
        <w:rPr>
          <w:rFonts w:eastAsia="Times New Roman" w:cs="Times New Roman"/>
          <w:color w:val="000066"/>
          <w:sz w:val="15"/>
        </w:rPr>
        <w:t>ifade</w:t>
      </w:r>
      <w:proofErr w:type="gramEnd"/>
      <w:r w:rsidRPr="002F7F39">
        <w:rPr>
          <w:rFonts w:eastAsia="Times New Roman" w:cs="Times New Roman"/>
          <w:color w:val="000066"/>
          <w:sz w:val="15"/>
          <w:szCs w:val="15"/>
        </w:rPr>
        <w:t xml:space="preserve"> eder.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Mesleki eğitim zorunluluğu</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5 – </w:t>
      </w:r>
      <w:r w:rsidRPr="002F7F39">
        <w:rPr>
          <w:rFonts w:eastAsia="Times New Roman" w:cs="Times New Roman"/>
          <w:color w:val="000066"/>
          <w:sz w:val="15"/>
          <w:szCs w:val="15"/>
        </w:rPr>
        <w:t xml:space="preserve">(1) Ağır ve tehlikeli işlerde çalıştırılacak işçilerin, işe alınmadan önce, mesleki eğitime tabi tutulmaları zorunludur.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 xml:space="preserve">(2) İşyerinde yapılan işler, asıl iş itibariyle “Ağır ve Tehlikeli İşler Yönetmeliği” kapsamında yer almakla birlikte, işçinin yaptığı iş ağır ve tehlikeli işler kapsamı dışında ise, </w:t>
      </w:r>
      <w:proofErr w:type="gramStart"/>
      <w:r w:rsidRPr="002F7F39">
        <w:rPr>
          <w:rFonts w:eastAsia="Times New Roman" w:cs="Times New Roman"/>
          <w:color w:val="000066"/>
          <w:sz w:val="15"/>
        </w:rPr>
        <w:t>5/6/1986</w:t>
      </w:r>
      <w:proofErr w:type="gramEnd"/>
      <w:r w:rsidRPr="002F7F39">
        <w:rPr>
          <w:rFonts w:eastAsia="Times New Roman" w:cs="Times New Roman"/>
          <w:color w:val="000066"/>
          <w:sz w:val="15"/>
          <w:szCs w:val="15"/>
        </w:rPr>
        <w:t xml:space="preserve"> tarihli ve 3308 sayılı Mesleki Eğitim Kanunu hükümleri saklı kalmak kaydıyla 4857 sayılı İş Kanununun 85 inci maddesi kapsamında mesleki eğitim alma zorunluluğu aranmaz.</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Mesleki eğitimin belgelendirilmesi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br/>
        <w:t xml:space="preserve">MADDE 6 – </w:t>
      </w:r>
      <w:r w:rsidRPr="002F7F39">
        <w:rPr>
          <w:rFonts w:eastAsia="Times New Roman" w:cs="Times New Roman"/>
          <w:color w:val="000066"/>
          <w:sz w:val="15"/>
          <w:szCs w:val="15"/>
        </w:rPr>
        <w:t>(1) Ağır ve tehlikeli işlerde çalıştırılacak işçilerin, aşağıda belirtilen belgelerden birisine sahip olmaları zorunludur: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a) 3308 sayılı Kanuna göre verilen diploma, bitirme belgesi, yetki belgesi, sertifika, bağımsız işyeri açma belgesi, kalfalık, ustalık ve usta öğreticilik belgelerinden birisi,</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 xml:space="preserve">b) </w:t>
      </w:r>
      <w:proofErr w:type="gramStart"/>
      <w:r w:rsidRPr="002F7F39">
        <w:rPr>
          <w:rFonts w:eastAsia="Times New Roman" w:cs="Times New Roman"/>
          <w:color w:val="000066"/>
          <w:sz w:val="15"/>
        </w:rPr>
        <w:t>25/8/1999</w:t>
      </w:r>
      <w:proofErr w:type="gramEnd"/>
      <w:r w:rsidRPr="002F7F39">
        <w:rPr>
          <w:rFonts w:eastAsia="Times New Roman" w:cs="Times New Roman"/>
          <w:color w:val="000066"/>
          <w:sz w:val="15"/>
          <w:szCs w:val="15"/>
        </w:rPr>
        <w:t xml:space="preserve"> tarihli ve 4447 sayılı İşsizlik Sigortası Kanununun 48 inci maddesi ile 31/12/2008 tarihli ve 27097 (6. Mükerrer) sayılı Resmî Gazete’de yayımlanan “Türkiye İş Kurumu İşgücü Uyum Hizmetleri Yönetmeliği”nin 4 üncü maddesinin (f) bendine göre faaliyet gösteren kurslardan aynı Yönetmeliğin 23 üncü maddesine göre alınan kurs bitirme belgesi,</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 xml:space="preserve">c) </w:t>
      </w:r>
      <w:proofErr w:type="gramStart"/>
      <w:r w:rsidRPr="002F7F39">
        <w:rPr>
          <w:rFonts w:eastAsia="Times New Roman" w:cs="Times New Roman"/>
          <w:color w:val="000066"/>
          <w:sz w:val="15"/>
        </w:rPr>
        <w:t>8/2/2007</w:t>
      </w:r>
      <w:proofErr w:type="gramEnd"/>
      <w:r w:rsidRPr="002F7F39">
        <w:rPr>
          <w:rFonts w:eastAsia="Times New Roman" w:cs="Times New Roman"/>
          <w:color w:val="000066"/>
          <w:sz w:val="15"/>
          <w:szCs w:val="15"/>
        </w:rPr>
        <w:t xml:space="preserve"> tarihli ve 5580 sayılı Özel Öğretim Kurumları Kanununun 2 </w:t>
      </w:r>
      <w:proofErr w:type="spellStart"/>
      <w:r w:rsidRPr="002F7F39">
        <w:rPr>
          <w:rFonts w:eastAsia="Times New Roman" w:cs="Times New Roman"/>
          <w:color w:val="000066"/>
          <w:sz w:val="15"/>
        </w:rPr>
        <w:t>nci</w:t>
      </w:r>
      <w:proofErr w:type="spellEnd"/>
      <w:r w:rsidRPr="002F7F39">
        <w:rPr>
          <w:rFonts w:eastAsia="Times New Roman" w:cs="Times New Roman"/>
          <w:color w:val="000066"/>
          <w:sz w:val="15"/>
          <w:szCs w:val="15"/>
        </w:rPr>
        <w:t xml:space="preserve"> maddesinin (g) ve (i) bentlerine göre faaliyet gösteren kurslardan alınan kurs bitirme belgesi, operatör belgesi ve sürücü belgesi,</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 xml:space="preserve">ç) </w:t>
      </w:r>
      <w:proofErr w:type="gramStart"/>
      <w:r w:rsidRPr="002F7F39">
        <w:rPr>
          <w:rFonts w:eastAsia="Times New Roman" w:cs="Times New Roman"/>
          <w:color w:val="000066"/>
          <w:sz w:val="15"/>
        </w:rPr>
        <w:t>11/7/2002</w:t>
      </w:r>
      <w:proofErr w:type="gramEnd"/>
      <w:r w:rsidRPr="002F7F39">
        <w:rPr>
          <w:rFonts w:eastAsia="Times New Roman" w:cs="Times New Roman"/>
          <w:color w:val="000066"/>
          <w:sz w:val="15"/>
          <w:szCs w:val="15"/>
        </w:rPr>
        <w:t xml:space="preserve"> tarihli ve 24812 sayılı Resmî Gazete'de yayımlanan Patlayıcı Madde Ateşleyici Yeterlilik Belgesinin Verilmesi Esas ve Usullerinin Belirlenmesi Hakkında Yönetmelik kapsamında alınan ateşleyici yeterlilik belgesi,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lastRenderedPageBreak/>
        <w:tab/>
      </w:r>
      <w:r w:rsidRPr="002F7F39">
        <w:rPr>
          <w:rFonts w:eastAsia="Times New Roman" w:cs="Times New Roman"/>
          <w:color w:val="000066"/>
          <w:sz w:val="15"/>
          <w:szCs w:val="15"/>
        </w:rPr>
        <w:t>d) Yukarıda sayılanların dışında kuruluş kanunlarında veya ilgili kanunlarca yetkilendirilmiş kamu kurum ve kuruluşları, kamu kurumu niteliğindeki meslek kuruluşları, eğitim amaçlı faaliyet gösteren vakıf ve dernekler ile işçi ve işveren kuruluşları veya işveren tarafından Milli Eğitim Bakanlığının onayı ile düzenlenen eğitim faaliyetleri sonucunda verilen belgeler,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e) Uluslararası kurum ve kuruluşlardan alınan ve Milli Eğitim Bakanlığı tarafından denkliği sağlanan belgeler.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Mesleki eğitim zorunluluğunun denetlenmesi</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7 – </w:t>
      </w:r>
      <w:r w:rsidRPr="002F7F39">
        <w:rPr>
          <w:rFonts w:eastAsia="Times New Roman" w:cs="Times New Roman"/>
          <w:color w:val="000066"/>
          <w:sz w:val="15"/>
          <w:szCs w:val="15"/>
        </w:rPr>
        <w:t>(1) Ağır ve tehlikeli işlerde çalıştırılacak işçilerin zorunlu mesleki eğitim diploma, sertifika veya belgelerinin bulunup bulunmadığı hususu, 4857 sayılı Kanuna göre Bakanlık İş Müfettişleri tarafından denetlenir.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18"/>
          <w:szCs w:val="18"/>
        </w:rPr>
        <w:tab/>
      </w:r>
      <w:r w:rsidRPr="002F7F39">
        <w:rPr>
          <w:rFonts w:eastAsia="Times New Roman" w:cs="Times New Roman"/>
          <w:color w:val="000066"/>
          <w:sz w:val="15"/>
          <w:szCs w:val="15"/>
        </w:rPr>
        <w:t>(2) İşverenler, ağır ve tehlikeli işlerde çalışan işçilerin mesleki eğitim belgelerinin bir örneğini, 4857 sayılı Kanunun 75 inci maddesine göre düzenlenen özlük dosyasında saklamak ve istendiğinde yetkili memurlara göstermek zorundadır.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color w:val="000000"/>
          <w:sz w:val="24"/>
          <w:szCs w:val="24"/>
        </w:rPr>
        <w:t> </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Yürürlük</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00"/>
          <w:sz w:val="18"/>
          <w:szCs w:val="18"/>
        </w:rPr>
        <w:tab/>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t xml:space="preserve">MADDE 8 – </w:t>
      </w:r>
      <w:r w:rsidRPr="002F7F39">
        <w:rPr>
          <w:rFonts w:eastAsia="Times New Roman" w:cs="Times New Roman"/>
          <w:color w:val="000066"/>
          <w:sz w:val="15"/>
          <w:szCs w:val="15"/>
        </w:rPr>
        <w:t>(1) Bu Tebliğ, yayımı tarihinde yürürlüğe girer.</w:t>
      </w:r>
    </w:p>
    <w:p w:rsidR="002F7F39" w:rsidRPr="002F7F39" w:rsidRDefault="002F7F39" w:rsidP="002F7F39">
      <w:pPr>
        <w:spacing w:after="0"/>
        <w:rPr>
          <w:rFonts w:eastAsia="Times New Roman" w:cs="Times New Roman"/>
          <w:color w:val="000000"/>
          <w:sz w:val="24"/>
          <w:szCs w:val="24"/>
        </w:rPr>
      </w:pPr>
      <w:r w:rsidRPr="002F7F39">
        <w:rPr>
          <w:rFonts w:eastAsia="Times New Roman" w:cs="Times New Roman"/>
          <w:b/>
          <w:color w:val="000066"/>
          <w:sz w:val="15"/>
          <w:szCs w:val="15"/>
        </w:rPr>
        <w:br/>
        <w:t>Yürütme</w:t>
      </w:r>
    </w:p>
    <w:p w:rsidR="002F7F39" w:rsidRPr="002F7F39" w:rsidRDefault="002F7F39" w:rsidP="002F7F39">
      <w:pPr>
        <w:tabs>
          <w:tab w:val="left" w:pos="566"/>
          <w:tab w:val="center" w:pos="5693"/>
          <w:tab w:val="right" w:pos="6519"/>
        </w:tabs>
        <w:spacing w:after="0"/>
        <w:jc w:val="both"/>
        <w:rPr>
          <w:rFonts w:eastAsia="Times New Roman" w:cs="Times New Roman"/>
          <w:color w:val="000000"/>
          <w:sz w:val="24"/>
          <w:szCs w:val="24"/>
        </w:rPr>
      </w:pPr>
      <w:r w:rsidRPr="002F7F39">
        <w:rPr>
          <w:rFonts w:eastAsia="Times New Roman" w:cs="Times New Roman"/>
          <w:b/>
          <w:color w:val="000066"/>
          <w:sz w:val="15"/>
          <w:szCs w:val="15"/>
        </w:rPr>
        <w:br/>
        <w:t xml:space="preserve">MADDE 9 – </w:t>
      </w:r>
      <w:r w:rsidRPr="002F7F39">
        <w:rPr>
          <w:rFonts w:eastAsia="Times New Roman" w:cs="Times New Roman"/>
          <w:color w:val="000066"/>
          <w:sz w:val="15"/>
          <w:szCs w:val="15"/>
        </w:rPr>
        <w:t>(1) Bu Tebliğ hükümlerini Çalışma ve Sosyal Güvenlik Bakanı yürütür.</w:t>
      </w:r>
    </w:p>
    <w:p w:rsidR="005C7120" w:rsidRPr="002F7F39" w:rsidRDefault="005C7120"/>
    <w:sectPr w:rsidR="005C7120" w:rsidRPr="002F7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F7F39"/>
    <w:rsid w:val="002F7F39"/>
    <w:rsid w:val="005C71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7F39"/>
    <w:rPr>
      <w:strike w:val="0"/>
      <w:dstrike w:val="0"/>
      <w:color w:val="0000FF"/>
      <w:u w:val="none"/>
      <w:effect w:val="none"/>
    </w:rPr>
  </w:style>
  <w:style w:type="paragraph" w:styleId="NormalWeb">
    <w:name w:val="Normal (Web)"/>
    <w:basedOn w:val="Normal"/>
    <w:uiPriority w:val="99"/>
    <w:unhideWhenUsed/>
    <w:rsid w:val="002F7F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2-ortabaslk">
    <w:name w:val="2-ortabaslk"/>
    <w:basedOn w:val="Normal"/>
    <w:rsid w:val="002F7F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3-normalyaz">
    <w:name w:val="3-normalyaz"/>
    <w:basedOn w:val="Normal"/>
    <w:rsid w:val="002F7F3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grame">
    <w:name w:val="grame"/>
    <w:basedOn w:val="VarsaylanParagrafYazTipi"/>
    <w:rsid w:val="002F7F39"/>
  </w:style>
  <w:style w:type="character" w:customStyle="1" w:styleId="spelle">
    <w:name w:val="spelle"/>
    <w:basedOn w:val="VarsaylanParagrafYazTipi"/>
    <w:rsid w:val="002F7F39"/>
  </w:style>
  <w:style w:type="paragraph" w:styleId="BalonMetni">
    <w:name w:val="Balloon Text"/>
    <w:basedOn w:val="Normal"/>
    <w:link w:val="BalonMetniChar"/>
    <w:uiPriority w:val="99"/>
    <w:semiHidden/>
    <w:unhideWhenUsed/>
    <w:rsid w:val="002F7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agir_tehlikeli_isler_yonetmeligi.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3819</Characters>
  <Application>Microsoft Office Word</Application>
  <DocSecurity>0</DocSecurity>
  <Lines>31</Lines>
  <Paragraphs>8</Paragraphs>
  <ScaleCrop>false</ScaleCrop>
  <Company>Katilimsiz.Com</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NCY</dc:creator>
  <cp:keywords/>
  <dc:description/>
  <cp:lastModifiedBy>NCY</cp:lastModifiedBy>
  <cp:revision>2</cp:revision>
  <dcterms:created xsi:type="dcterms:W3CDTF">2012-01-05T08:28:00Z</dcterms:created>
  <dcterms:modified xsi:type="dcterms:W3CDTF">2012-01-05T08:30:00Z</dcterms:modified>
</cp:coreProperties>
</file>